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0A" w:rsidRDefault="00A56714" w:rsidP="00AE3C0A">
      <w:pPr>
        <w:rPr>
          <w:b/>
          <w:bCs/>
        </w:rPr>
      </w:pPr>
      <w:r>
        <w:rPr>
          <w:b/>
          <w:bCs/>
        </w:rPr>
        <w:t xml:space="preserve">BODY </w:t>
      </w:r>
      <w:bookmarkStart w:id="0" w:name="_GoBack"/>
      <w:bookmarkEnd w:id="0"/>
      <w:r>
        <w:rPr>
          <w:b/>
          <w:bCs/>
        </w:rPr>
        <w:t xml:space="preserve">MOVEMENT </w:t>
      </w:r>
      <w:r w:rsidR="00AE3C0A">
        <w:rPr>
          <w:b/>
          <w:bCs/>
        </w:rPr>
        <w:t>ASSESSMENT:</w:t>
      </w:r>
    </w:p>
    <w:p w:rsidR="00AE3C0A" w:rsidRDefault="00AE3C0A" w:rsidP="00AE3C0A">
      <w:pPr>
        <w:rPr>
          <w:b/>
          <w:bCs/>
        </w:rPr>
      </w:pPr>
      <w:r>
        <w:rPr>
          <w:b/>
          <w:bCs/>
        </w:rPr>
        <w:t>Final Scoring Rubric: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94"/>
        <w:gridCol w:w="1461"/>
        <w:gridCol w:w="1194"/>
        <w:gridCol w:w="1362"/>
        <w:gridCol w:w="1511"/>
        <w:gridCol w:w="1318"/>
        <w:gridCol w:w="1336"/>
      </w:tblGrid>
      <w:tr w:rsidR="00AE3C0A" w:rsidTr="00EA60FE"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demonstrated understanding of how facial expressions are used in communication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was able to identify person specific gestures and how gestures are used.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demonstrated understanding of how different ages move.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demonstrated understanding of how body language is used in communication.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completed the half hour of observations specifically noting body movement discussed in class.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put together a well thought out report on their observations.</w:t>
            </w:r>
          </w:p>
        </w:tc>
      </w:tr>
      <w:tr w:rsidR="00AE3C0A" w:rsidTr="00EA60FE">
        <w:trPr>
          <w:trHeight w:val="647"/>
        </w:trPr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– Limited Understanding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</w:tr>
      <w:tr w:rsidR="00AE3C0A" w:rsidTr="00EA60FE">
        <w:trPr>
          <w:trHeight w:val="710"/>
        </w:trPr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– Some Understanding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</w:tr>
      <w:tr w:rsidR="00AE3C0A" w:rsidTr="00EA60FE">
        <w:trPr>
          <w:trHeight w:val="710"/>
        </w:trPr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– Average Understanding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</w:tr>
      <w:tr w:rsidR="00AE3C0A" w:rsidTr="00EA60FE">
        <w:trPr>
          <w:trHeight w:val="710"/>
        </w:trPr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– Good Understanding</w:t>
            </w: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</w:tr>
      <w:tr w:rsidR="00AE3C0A" w:rsidTr="00EA60FE">
        <w:trPr>
          <w:trHeight w:val="710"/>
        </w:trPr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– Expert Understanding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</w:tr>
      <w:tr w:rsidR="00AE3C0A" w:rsidTr="00EA60FE">
        <w:trPr>
          <w:trHeight w:val="11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C0A" w:rsidRDefault="00AE3C0A" w:rsidP="00EA6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Comments: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</w:tcPr>
          <w:p w:rsidR="00AE3C0A" w:rsidRPr="002B2066" w:rsidRDefault="00AE3C0A" w:rsidP="00EA60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 Score: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E3C0A" w:rsidRPr="002B2066" w:rsidRDefault="00AE3C0A" w:rsidP="00EA60FE">
            <w:pPr>
              <w:rPr>
                <w:bCs/>
                <w:sz w:val="20"/>
                <w:szCs w:val="20"/>
              </w:rPr>
            </w:pPr>
          </w:p>
        </w:tc>
      </w:tr>
    </w:tbl>
    <w:p w:rsidR="00A67F37" w:rsidRDefault="00A67F37"/>
    <w:sectPr w:rsidR="00A67F37" w:rsidSect="00A6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3C0A"/>
    <w:rsid w:val="00A56714"/>
    <w:rsid w:val="00A67F37"/>
    <w:rsid w:val="00AE3C0A"/>
    <w:rsid w:val="00BA487C"/>
    <w:rsid w:val="00C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3</cp:revision>
  <dcterms:created xsi:type="dcterms:W3CDTF">2015-03-12T16:41:00Z</dcterms:created>
  <dcterms:modified xsi:type="dcterms:W3CDTF">2015-03-12T16:42:00Z</dcterms:modified>
</cp:coreProperties>
</file>