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78" w:rsidRPr="00C51286" w:rsidRDefault="005B7778" w:rsidP="005B7778">
      <w:pPr>
        <w:autoSpaceDE w:val="0"/>
        <w:autoSpaceDN w:val="0"/>
        <w:adjustRightInd w:val="0"/>
        <w:rPr>
          <w:b/>
          <w:i/>
          <w:color w:val="000000"/>
          <w:sz w:val="20"/>
          <w:szCs w:val="20"/>
        </w:rPr>
      </w:pPr>
      <w:r w:rsidRPr="003C4302">
        <w:rPr>
          <w:b/>
          <w:color w:val="000000"/>
          <w:sz w:val="28"/>
          <w:szCs w:val="28"/>
        </w:rPr>
        <w:t>Final Shakespeare Monologue Scoring Rubric</w:t>
      </w:r>
      <w:r>
        <w:rPr>
          <w:b/>
          <w:i/>
          <w:color w:val="000000"/>
          <w:sz w:val="20"/>
          <w:szCs w:val="20"/>
        </w:rPr>
        <w:tab/>
      </w:r>
      <w:r>
        <w:rPr>
          <w:b/>
          <w:i/>
          <w:color w:val="000000"/>
          <w:sz w:val="20"/>
          <w:szCs w:val="20"/>
        </w:rPr>
        <w:tab/>
        <w:t>Name:</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t>Play:</w:t>
      </w:r>
      <w:r>
        <w:rPr>
          <w:b/>
          <w:i/>
          <w:color w:val="000000"/>
          <w:sz w:val="20"/>
          <w:szCs w:val="20"/>
        </w:rPr>
        <w:tab/>
      </w:r>
      <w:r>
        <w:rPr>
          <w:b/>
          <w:i/>
          <w:color w:val="000000"/>
          <w:sz w:val="20"/>
          <w:szCs w:val="20"/>
        </w:rPr>
        <w:tab/>
      </w:r>
      <w:r>
        <w:rPr>
          <w:b/>
          <w:i/>
          <w:color w:val="000000"/>
          <w:sz w:val="20"/>
          <w:szCs w:val="20"/>
        </w:rPr>
        <w:tab/>
      </w:r>
    </w:p>
    <w:tbl>
      <w:tblPr>
        <w:tblStyle w:val="TableGrid"/>
        <w:tblW w:w="11808" w:type="dxa"/>
        <w:tblLayout w:type="fixed"/>
        <w:tblLook w:val="01E0" w:firstRow="1" w:lastRow="1" w:firstColumn="1" w:lastColumn="1" w:noHBand="0" w:noVBand="0"/>
      </w:tblPr>
      <w:tblGrid>
        <w:gridCol w:w="1188"/>
        <w:gridCol w:w="2880"/>
        <w:gridCol w:w="2880"/>
        <w:gridCol w:w="3420"/>
        <w:gridCol w:w="1440"/>
      </w:tblGrid>
      <w:tr w:rsidR="005B7778" w:rsidRPr="00C51286" w:rsidTr="002236AC">
        <w:tc>
          <w:tcPr>
            <w:tcW w:w="1188" w:type="dxa"/>
          </w:tcPr>
          <w:p w:rsidR="005B7778" w:rsidRPr="00C51286" w:rsidRDefault="005B7778" w:rsidP="002236AC">
            <w:pPr>
              <w:rPr>
                <w:b/>
                <w:i/>
                <w:sz w:val="18"/>
                <w:szCs w:val="18"/>
              </w:rPr>
            </w:pPr>
          </w:p>
        </w:tc>
        <w:tc>
          <w:tcPr>
            <w:tcW w:w="2880" w:type="dxa"/>
          </w:tcPr>
          <w:p w:rsidR="005B7778" w:rsidRPr="00C51286" w:rsidRDefault="005B7778" w:rsidP="002236AC">
            <w:pPr>
              <w:rPr>
                <w:b/>
                <w:sz w:val="18"/>
                <w:szCs w:val="18"/>
              </w:rPr>
            </w:pPr>
            <w:r w:rsidRPr="00C51286">
              <w:rPr>
                <w:b/>
                <w:sz w:val="18"/>
                <w:szCs w:val="18"/>
              </w:rPr>
              <w:t>DISAPPOINTING</w:t>
            </w:r>
          </w:p>
        </w:tc>
        <w:tc>
          <w:tcPr>
            <w:tcW w:w="2880" w:type="dxa"/>
          </w:tcPr>
          <w:p w:rsidR="005B7778" w:rsidRPr="00C51286" w:rsidRDefault="005B7778" w:rsidP="002236AC">
            <w:pPr>
              <w:rPr>
                <w:b/>
                <w:sz w:val="18"/>
                <w:szCs w:val="18"/>
              </w:rPr>
            </w:pPr>
            <w:r w:rsidRPr="00C51286">
              <w:rPr>
                <w:b/>
                <w:sz w:val="18"/>
                <w:szCs w:val="18"/>
              </w:rPr>
              <w:t>GOOD</w:t>
            </w:r>
          </w:p>
        </w:tc>
        <w:tc>
          <w:tcPr>
            <w:tcW w:w="3420" w:type="dxa"/>
          </w:tcPr>
          <w:p w:rsidR="005B7778" w:rsidRPr="00C51286" w:rsidRDefault="005B7778" w:rsidP="002236AC">
            <w:pPr>
              <w:rPr>
                <w:b/>
                <w:sz w:val="18"/>
                <w:szCs w:val="18"/>
              </w:rPr>
            </w:pPr>
            <w:r w:rsidRPr="00C51286">
              <w:rPr>
                <w:b/>
                <w:sz w:val="18"/>
                <w:szCs w:val="18"/>
              </w:rPr>
              <w:t>VERY NICE</w:t>
            </w:r>
          </w:p>
        </w:tc>
        <w:tc>
          <w:tcPr>
            <w:tcW w:w="1440" w:type="dxa"/>
          </w:tcPr>
          <w:p w:rsidR="005B7778" w:rsidRPr="00C51286" w:rsidRDefault="005B7778" w:rsidP="002236AC">
            <w:pPr>
              <w:rPr>
                <w:b/>
                <w:sz w:val="18"/>
                <w:szCs w:val="18"/>
              </w:rPr>
            </w:pPr>
            <w:r w:rsidRPr="00C51286">
              <w:rPr>
                <w:b/>
                <w:sz w:val="18"/>
                <w:szCs w:val="18"/>
              </w:rPr>
              <w:t>NOTES</w:t>
            </w:r>
          </w:p>
        </w:tc>
      </w:tr>
      <w:tr w:rsidR="005B7778" w:rsidRPr="00C51286" w:rsidTr="002236AC">
        <w:tc>
          <w:tcPr>
            <w:tcW w:w="1188" w:type="dxa"/>
          </w:tcPr>
          <w:p w:rsidR="005B7778" w:rsidRPr="00C51286" w:rsidRDefault="005B7778" w:rsidP="002236AC">
            <w:pPr>
              <w:rPr>
                <w:b/>
                <w:sz w:val="18"/>
                <w:szCs w:val="18"/>
              </w:rPr>
            </w:pPr>
            <w:r>
              <w:rPr>
                <w:b/>
                <w:sz w:val="18"/>
                <w:szCs w:val="18"/>
              </w:rPr>
              <w:t>Intro</w:t>
            </w:r>
          </w:p>
        </w:tc>
        <w:tc>
          <w:tcPr>
            <w:tcW w:w="2880" w:type="dxa"/>
          </w:tcPr>
          <w:p w:rsidR="005B7778" w:rsidRPr="00C51286" w:rsidRDefault="005B7778" w:rsidP="002236AC">
            <w:pPr>
              <w:autoSpaceDE w:val="0"/>
              <w:autoSpaceDN w:val="0"/>
              <w:adjustRightInd w:val="0"/>
              <w:rPr>
                <w:color w:val="000000"/>
                <w:sz w:val="18"/>
                <w:szCs w:val="18"/>
              </w:rPr>
            </w:pPr>
            <w:r>
              <w:rPr>
                <w:color w:val="000000"/>
                <w:sz w:val="18"/>
                <w:szCs w:val="18"/>
              </w:rPr>
              <w:t>Not much more than the name of the play was given.</w:t>
            </w:r>
          </w:p>
        </w:tc>
        <w:tc>
          <w:tcPr>
            <w:tcW w:w="2880" w:type="dxa"/>
          </w:tcPr>
          <w:p w:rsidR="005B7778" w:rsidRPr="00C51286" w:rsidRDefault="005B7778" w:rsidP="002236AC">
            <w:pPr>
              <w:autoSpaceDE w:val="0"/>
              <w:autoSpaceDN w:val="0"/>
              <w:adjustRightInd w:val="0"/>
              <w:rPr>
                <w:color w:val="000000"/>
                <w:sz w:val="18"/>
                <w:szCs w:val="18"/>
              </w:rPr>
            </w:pPr>
            <w:r>
              <w:rPr>
                <w:color w:val="000000"/>
                <w:sz w:val="18"/>
                <w:szCs w:val="18"/>
              </w:rPr>
              <w:t>Some details from the plot are given.  A lesson may or may not be identified.</w:t>
            </w:r>
          </w:p>
        </w:tc>
        <w:tc>
          <w:tcPr>
            <w:tcW w:w="3420" w:type="dxa"/>
          </w:tcPr>
          <w:p w:rsidR="005B7778" w:rsidRPr="00C51286" w:rsidRDefault="005B7778" w:rsidP="002236AC">
            <w:pPr>
              <w:autoSpaceDE w:val="0"/>
              <w:autoSpaceDN w:val="0"/>
              <w:adjustRightInd w:val="0"/>
              <w:rPr>
                <w:color w:val="000000"/>
                <w:sz w:val="18"/>
                <w:szCs w:val="18"/>
              </w:rPr>
            </w:pPr>
            <w:r>
              <w:rPr>
                <w:color w:val="000000"/>
                <w:sz w:val="18"/>
                <w:szCs w:val="18"/>
              </w:rPr>
              <w:t>Plot synopsis is well-studied and thorough.  A lesson from the play is identified.</w:t>
            </w:r>
          </w:p>
        </w:tc>
        <w:tc>
          <w:tcPr>
            <w:tcW w:w="1440" w:type="dxa"/>
          </w:tcPr>
          <w:p w:rsidR="005B7778" w:rsidRPr="00C51286" w:rsidRDefault="005B7778" w:rsidP="002236AC">
            <w:pPr>
              <w:rPr>
                <w:sz w:val="18"/>
                <w:szCs w:val="18"/>
              </w:rPr>
            </w:pPr>
          </w:p>
        </w:tc>
      </w:tr>
      <w:tr w:rsidR="005B7778" w:rsidRPr="00C51286" w:rsidTr="002236AC">
        <w:tc>
          <w:tcPr>
            <w:tcW w:w="1188" w:type="dxa"/>
          </w:tcPr>
          <w:p w:rsidR="005B7778" w:rsidRPr="00C51286" w:rsidRDefault="005B7778" w:rsidP="002236AC">
            <w:pPr>
              <w:rPr>
                <w:b/>
                <w:sz w:val="18"/>
                <w:szCs w:val="18"/>
              </w:rPr>
            </w:pPr>
            <w:r>
              <w:rPr>
                <w:b/>
                <w:sz w:val="18"/>
                <w:szCs w:val="18"/>
              </w:rPr>
              <w:t>Climax &amp; Vocal Levels</w:t>
            </w:r>
          </w:p>
        </w:tc>
        <w:tc>
          <w:tcPr>
            <w:tcW w:w="2880" w:type="dxa"/>
          </w:tcPr>
          <w:p w:rsidR="005B7778" w:rsidRPr="00C51286" w:rsidRDefault="005B7778" w:rsidP="002236AC">
            <w:pPr>
              <w:autoSpaceDE w:val="0"/>
              <w:autoSpaceDN w:val="0"/>
              <w:adjustRightInd w:val="0"/>
              <w:rPr>
                <w:color w:val="000000"/>
                <w:sz w:val="18"/>
                <w:szCs w:val="18"/>
              </w:rPr>
            </w:pPr>
            <w:r>
              <w:rPr>
                <w:color w:val="000000"/>
                <w:sz w:val="18"/>
                <w:szCs w:val="18"/>
              </w:rPr>
              <w:t>There is not really an identifiable climax and t</w:t>
            </w:r>
            <w:r w:rsidRPr="00C51286">
              <w:rPr>
                <w:color w:val="000000"/>
                <w:sz w:val="18"/>
                <w:szCs w:val="18"/>
              </w:rPr>
              <w:t xml:space="preserve">he character is pretty much monotonous.  Levels stay </w:t>
            </w:r>
            <w:proofErr w:type="gramStart"/>
            <w:r w:rsidRPr="00C51286">
              <w:rPr>
                <w:color w:val="000000"/>
                <w:sz w:val="18"/>
                <w:szCs w:val="18"/>
              </w:rPr>
              <w:t>between 4-6</w:t>
            </w:r>
            <w:proofErr w:type="gramEnd"/>
            <w:r w:rsidRPr="00C51286">
              <w:rPr>
                <w:color w:val="000000"/>
                <w:sz w:val="18"/>
                <w:szCs w:val="18"/>
              </w:rPr>
              <w:t xml:space="preserve"> and no words are given emphasis.</w:t>
            </w:r>
          </w:p>
        </w:tc>
        <w:tc>
          <w:tcPr>
            <w:tcW w:w="2880" w:type="dxa"/>
          </w:tcPr>
          <w:p w:rsidR="005B7778" w:rsidRPr="00C51286" w:rsidRDefault="005B7778" w:rsidP="002236AC">
            <w:pPr>
              <w:autoSpaceDE w:val="0"/>
              <w:autoSpaceDN w:val="0"/>
              <w:adjustRightInd w:val="0"/>
              <w:rPr>
                <w:color w:val="000000"/>
                <w:sz w:val="18"/>
                <w:szCs w:val="18"/>
              </w:rPr>
            </w:pPr>
            <w:r>
              <w:rPr>
                <w:color w:val="000000"/>
                <w:sz w:val="18"/>
                <w:szCs w:val="18"/>
              </w:rPr>
              <w:t xml:space="preserve">The climax is identifiable but not necessarily strong.  </w:t>
            </w:r>
            <w:r w:rsidRPr="00C51286">
              <w:rPr>
                <w:color w:val="000000"/>
                <w:sz w:val="18"/>
                <w:szCs w:val="18"/>
              </w:rPr>
              <w:t>A few important words are given emphasis and levels occasionally reach a 3 or an 8.</w:t>
            </w:r>
          </w:p>
        </w:tc>
        <w:tc>
          <w:tcPr>
            <w:tcW w:w="3420" w:type="dxa"/>
          </w:tcPr>
          <w:p w:rsidR="005B7778" w:rsidRPr="00C51286" w:rsidRDefault="005B7778" w:rsidP="002236AC">
            <w:pPr>
              <w:autoSpaceDE w:val="0"/>
              <w:autoSpaceDN w:val="0"/>
              <w:adjustRightInd w:val="0"/>
              <w:rPr>
                <w:color w:val="000000"/>
                <w:sz w:val="18"/>
                <w:szCs w:val="18"/>
              </w:rPr>
            </w:pPr>
            <w:r>
              <w:rPr>
                <w:color w:val="000000"/>
                <w:sz w:val="18"/>
                <w:szCs w:val="18"/>
              </w:rPr>
              <w:t xml:space="preserve">The climax is identifiable.  It is built up to and down from.  </w:t>
            </w:r>
            <w:r w:rsidRPr="00C51286">
              <w:rPr>
                <w:color w:val="000000"/>
                <w:sz w:val="18"/>
                <w:szCs w:val="18"/>
              </w:rPr>
              <w:t>The entire range of levels is present and important words stand out.</w:t>
            </w:r>
          </w:p>
        </w:tc>
        <w:tc>
          <w:tcPr>
            <w:tcW w:w="1440" w:type="dxa"/>
          </w:tcPr>
          <w:p w:rsidR="005B7778" w:rsidRPr="00C51286" w:rsidRDefault="005B7778" w:rsidP="002236AC">
            <w:pPr>
              <w:rPr>
                <w:sz w:val="18"/>
                <w:szCs w:val="18"/>
              </w:rPr>
            </w:pPr>
          </w:p>
        </w:tc>
      </w:tr>
      <w:tr w:rsidR="005B7778" w:rsidRPr="00C51286" w:rsidTr="002236AC">
        <w:tc>
          <w:tcPr>
            <w:tcW w:w="1188" w:type="dxa"/>
          </w:tcPr>
          <w:p w:rsidR="005B7778" w:rsidRPr="00C51286" w:rsidRDefault="005B7778" w:rsidP="002236AC">
            <w:pPr>
              <w:rPr>
                <w:b/>
                <w:sz w:val="18"/>
                <w:szCs w:val="18"/>
              </w:rPr>
            </w:pPr>
            <w:r>
              <w:rPr>
                <w:b/>
                <w:sz w:val="18"/>
                <w:szCs w:val="18"/>
              </w:rPr>
              <w:t>Word Coloring</w:t>
            </w:r>
          </w:p>
        </w:tc>
        <w:tc>
          <w:tcPr>
            <w:tcW w:w="2880" w:type="dxa"/>
          </w:tcPr>
          <w:p w:rsidR="005B7778" w:rsidRPr="00C51286" w:rsidRDefault="005B7778" w:rsidP="002236AC">
            <w:pPr>
              <w:autoSpaceDE w:val="0"/>
              <w:autoSpaceDN w:val="0"/>
              <w:adjustRightInd w:val="0"/>
              <w:rPr>
                <w:color w:val="000000"/>
                <w:sz w:val="18"/>
                <w:szCs w:val="18"/>
              </w:rPr>
            </w:pPr>
            <w:r>
              <w:rPr>
                <w:color w:val="000000"/>
                <w:sz w:val="18"/>
                <w:szCs w:val="18"/>
              </w:rPr>
              <w:t>Not very many words stand out.  They all pretty much sound the same.</w:t>
            </w:r>
          </w:p>
        </w:tc>
        <w:tc>
          <w:tcPr>
            <w:tcW w:w="2880" w:type="dxa"/>
          </w:tcPr>
          <w:p w:rsidR="005B7778" w:rsidRPr="00C51286" w:rsidRDefault="005B7778" w:rsidP="002236AC">
            <w:pPr>
              <w:autoSpaceDE w:val="0"/>
              <w:autoSpaceDN w:val="0"/>
              <w:adjustRightInd w:val="0"/>
              <w:rPr>
                <w:color w:val="000000"/>
                <w:sz w:val="18"/>
                <w:szCs w:val="18"/>
              </w:rPr>
            </w:pPr>
            <w:r>
              <w:rPr>
                <w:color w:val="000000"/>
                <w:sz w:val="18"/>
                <w:szCs w:val="18"/>
              </w:rPr>
              <w:t>Some words stand out, but there could be more.</w:t>
            </w:r>
          </w:p>
        </w:tc>
        <w:tc>
          <w:tcPr>
            <w:tcW w:w="3420" w:type="dxa"/>
          </w:tcPr>
          <w:p w:rsidR="005B7778" w:rsidRPr="00C51286" w:rsidRDefault="005B7778" w:rsidP="002236AC">
            <w:pPr>
              <w:autoSpaceDE w:val="0"/>
              <w:autoSpaceDN w:val="0"/>
              <w:adjustRightInd w:val="0"/>
              <w:rPr>
                <w:color w:val="000000"/>
                <w:sz w:val="18"/>
                <w:szCs w:val="18"/>
              </w:rPr>
            </w:pPr>
            <w:r>
              <w:rPr>
                <w:color w:val="000000"/>
                <w:sz w:val="18"/>
                <w:szCs w:val="18"/>
              </w:rPr>
              <w:t>Verbs and adjectives are emphasized and spark interest. Interesting words stand out and move the plot forward.</w:t>
            </w:r>
          </w:p>
        </w:tc>
        <w:tc>
          <w:tcPr>
            <w:tcW w:w="1440" w:type="dxa"/>
          </w:tcPr>
          <w:p w:rsidR="005B7778" w:rsidRPr="00C51286" w:rsidRDefault="005B7778" w:rsidP="002236AC">
            <w:pPr>
              <w:rPr>
                <w:sz w:val="18"/>
                <w:szCs w:val="18"/>
              </w:rPr>
            </w:pPr>
          </w:p>
        </w:tc>
      </w:tr>
      <w:tr w:rsidR="005B7778" w:rsidRPr="00C51286" w:rsidTr="002236AC">
        <w:tc>
          <w:tcPr>
            <w:tcW w:w="1188" w:type="dxa"/>
          </w:tcPr>
          <w:p w:rsidR="005B7778" w:rsidRPr="00C51286" w:rsidRDefault="005B7778" w:rsidP="002236AC">
            <w:pPr>
              <w:rPr>
                <w:b/>
                <w:sz w:val="18"/>
                <w:szCs w:val="18"/>
              </w:rPr>
            </w:pPr>
            <w:r>
              <w:rPr>
                <w:b/>
                <w:sz w:val="18"/>
                <w:szCs w:val="18"/>
              </w:rPr>
              <w:t>Phrasing</w:t>
            </w:r>
          </w:p>
        </w:tc>
        <w:tc>
          <w:tcPr>
            <w:tcW w:w="2880" w:type="dxa"/>
          </w:tcPr>
          <w:p w:rsidR="005B7778" w:rsidRPr="00C51286" w:rsidRDefault="005B7778" w:rsidP="002236AC">
            <w:pPr>
              <w:autoSpaceDE w:val="0"/>
              <w:autoSpaceDN w:val="0"/>
              <w:adjustRightInd w:val="0"/>
              <w:rPr>
                <w:color w:val="000000"/>
                <w:sz w:val="18"/>
                <w:szCs w:val="18"/>
              </w:rPr>
            </w:pPr>
            <w:r>
              <w:rPr>
                <w:color w:val="000000"/>
                <w:sz w:val="18"/>
                <w:szCs w:val="18"/>
              </w:rPr>
              <w:t>The phrasing is off.  Pauses in the middle of sentences, etc…</w:t>
            </w:r>
          </w:p>
        </w:tc>
        <w:tc>
          <w:tcPr>
            <w:tcW w:w="2880" w:type="dxa"/>
          </w:tcPr>
          <w:p w:rsidR="005B7778" w:rsidRPr="00C51286" w:rsidRDefault="005B7778" w:rsidP="002236AC">
            <w:pPr>
              <w:autoSpaceDE w:val="0"/>
              <w:autoSpaceDN w:val="0"/>
              <w:adjustRightInd w:val="0"/>
              <w:rPr>
                <w:color w:val="000000"/>
                <w:sz w:val="18"/>
                <w:szCs w:val="18"/>
              </w:rPr>
            </w:pPr>
            <w:proofErr w:type="gramStart"/>
            <w:r>
              <w:rPr>
                <w:color w:val="000000"/>
                <w:sz w:val="18"/>
                <w:szCs w:val="18"/>
              </w:rPr>
              <w:t>No substantial phrasing mistakes, but punctuation is not used effectively.</w:t>
            </w:r>
            <w:proofErr w:type="gramEnd"/>
          </w:p>
        </w:tc>
        <w:tc>
          <w:tcPr>
            <w:tcW w:w="3420" w:type="dxa"/>
          </w:tcPr>
          <w:p w:rsidR="005B7778" w:rsidRPr="00C51286" w:rsidRDefault="005B7778" w:rsidP="002236AC">
            <w:pPr>
              <w:autoSpaceDE w:val="0"/>
              <w:autoSpaceDN w:val="0"/>
              <w:adjustRightInd w:val="0"/>
              <w:rPr>
                <w:color w:val="000000"/>
                <w:sz w:val="18"/>
                <w:szCs w:val="18"/>
              </w:rPr>
            </w:pPr>
            <w:r>
              <w:rPr>
                <w:color w:val="000000"/>
                <w:sz w:val="18"/>
                <w:szCs w:val="18"/>
              </w:rPr>
              <w:t>No pauses in awkward places.  Punctuation is used effectively.</w:t>
            </w:r>
          </w:p>
        </w:tc>
        <w:tc>
          <w:tcPr>
            <w:tcW w:w="1440" w:type="dxa"/>
          </w:tcPr>
          <w:p w:rsidR="005B7778" w:rsidRPr="00C51286" w:rsidRDefault="005B7778" w:rsidP="002236AC">
            <w:pPr>
              <w:rPr>
                <w:sz w:val="18"/>
                <w:szCs w:val="18"/>
              </w:rPr>
            </w:pPr>
          </w:p>
        </w:tc>
      </w:tr>
      <w:tr w:rsidR="005B7778" w:rsidRPr="00C51286" w:rsidTr="002236AC">
        <w:tc>
          <w:tcPr>
            <w:tcW w:w="1188" w:type="dxa"/>
          </w:tcPr>
          <w:p w:rsidR="005B7778" w:rsidRPr="00C51286" w:rsidRDefault="005B7778" w:rsidP="002236AC">
            <w:pPr>
              <w:rPr>
                <w:b/>
                <w:sz w:val="18"/>
                <w:szCs w:val="18"/>
              </w:rPr>
            </w:pPr>
            <w:r w:rsidRPr="00C51286">
              <w:rPr>
                <w:b/>
                <w:sz w:val="18"/>
                <w:szCs w:val="18"/>
              </w:rPr>
              <w:t xml:space="preserve">Objectives &amp; </w:t>
            </w:r>
            <w:r>
              <w:rPr>
                <w:b/>
                <w:sz w:val="18"/>
                <w:szCs w:val="18"/>
              </w:rPr>
              <w:t>Subtext</w:t>
            </w:r>
          </w:p>
        </w:tc>
        <w:tc>
          <w:tcPr>
            <w:tcW w:w="288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The character is not fighting for anything, nor does what’s happening seem important or vital to the character</w:t>
            </w:r>
            <w:r>
              <w:rPr>
                <w:color w:val="000000"/>
                <w:sz w:val="18"/>
                <w:szCs w:val="18"/>
              </w:rPr>
              <w:t xml:space="preserve">.  </w:t>
            </w:r>
            <w:r w:rsidRPr="00C51286">
              <w:rPr>
                <w:color w:val="000000"/>
                <w:sz w:val="18"/>
                <w:szCs w:val="18"/>
              </w:rPr>
              <w:t>The character does not seem to be thinking at all.  Lines are being recited.</w:t>
            </w:r>
          </w:p>
        </w:tc>
        <w:tc>
          <w:tcPr>
            <w:tcW w:w="288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 xml:space="preserve">Objective is clear and the character is focused on a purpose, but it is not particularly strong.  </w:t>
            </w:r>
            <w:r>
              <w:rPr>
                <w:color w:val="000000"/>
                <w:sz w:val="18"/>
                <w:szCs w:val="18"/>
              </w:rPr>
              <w:t xml:space="preserve"> </w:t>
            </w:r>
            <w:r w:rsidRPr="00C51286">
              <w:rPr>
                <w:color w:val="000000"/>
                <w:sz w:val="18"/>
                <w:szCs w:val="18"/>
              </w:rPr>
              <w:t>Thought process is evident and it is easy to detect what the character is thinking as they talk.</w:t>
            </w:r>
          </w:p>
        </w:tc>
        <w:tc>
          <w:tcPr>
            <w:tcW w:w="342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Objective is clear and the stakes are raised.  The objective is important to the character and they are fighting for something.  Bold subtext choices are made which change the direction of the scene at various points.</w:t>
            </w:r>
          </w:p>
        </w:tc>
        <w:tc>
          <w:tcPr>
            <w:tcW w:w="1440" w:type="dxa"/>
          </w:tcPr>
          <w:p w:rsidR="005B7778" w:rsidRPr="00C51286" w:rsidRDefault="005B7778" w:rsidP="002236AC">
            <w:pPr>
              <w:rPr>
                <w:sz w:val="18"/>
                <w:szCs w:val="18"/>
              </w:rPr>
            </w:pPr>
          </w:p>
        </w:tc>
      </w:tr>
      <w:tr w:rsidR="005B7778" w:rsidRPr="00C51286" w:rsidTr="002236AC">
        <w:tc>
          <w:tcPr>
            <w:tcW w:w="1188" w:type="dxa"/>
          </w:tcPr>
          <w:p w:rsidR="005B7778" w:rsidRPr="00C51286" w:rsidRDefault="005B7778" w:rsidP="002236AC">
            <w:pPr>
              <w:rPr>
                <w:b/>
                <w:sz w:val="18"/>
                <w:szCs w:val="18"/>
              </w:rPr>
            </w:pPr>
            <w:r w:rsidRPr="00C51286">
              <w:rPr>
                <w:b/>
                <w:sz w:val="18"/>
                <w:szCs w:val="18"/>
              </w:rPr>
              <w:t>Improve-</w:t>
            </w:r>
            <w:proofErr w:type="spellStart"/>
            <w:r w:rsidRPr="00C51286">
              <w:rPr>
                <w:b/>
                <w:sz w:val="18"/>
                <w:szCs w:val="18"/>
              </w:rPr>
              <w:t>ment</w:t>
            </w:r>
            <w:proofErr w:type="spellEnd"/>
          </w:p>
        </w:tc>
        <w:tc>
          <w:tcPr>
            <w:tcW w:w="288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No improvement since preview performance.</w:t>
            </w:r>
          </w:p>
        </w:tc>
        <w:tc>
          <w:tcPr>
            <w:tcW w:w="288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 xml:space="preserve">Performer incorporates at least one note given after previews, or monologue is somewhat improved. </w:t>
            </w:r>
          </w:p>
        </w:tc>
        <w:tc>
          <w:tcPr>
            <w:tcW w:w="342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 xml:space="preserve">Performer has incorporated all notes given, and </w:t>
            </w:r>
            <w:r>
              <w:rPr>
                <w:color w:val="000000"/>
                <w:sz w:val="18"/>
                <w:szCs w:val="18"/>
              </w:rPr>
              <w:t>substantial improvement is evident</w:t>
            </w:r>
            <w:r w:rsidRPr="00C51286">
              <w:rPr>
                <w:color w:val="000000"/>
                <w:sz w:val="18"/>
                <w:szCs w:val="18"/>
              </w:rPr>
              <w:t>.</w:t>
            </w:r>
          </w:p>
        </w:tc>
        <w:tc>
          <w:tcPr>
            <w:tcW w:w="1440" w:type="dxa"/>
          </w:tcPr>
          <w:p w:rsidR="005B7778" w:rsidRPr="00C51286" w:rsidRDefault="005B7778" w:rsidP="002236AC">
            <w:pPr>
              <w:rPr>
                <w:sz w:val="18"/>
                <w:szCs w:val="18"/>
              </w:rPr>
            </w:pPr>
          </w:p>
        </w:tc>
      </w:tr>
      <w:tr w:rsidR="005B7778" w:rsidRPr="00C51286" w:rsidTr="002236AC">
        <w:tc>
          <w:tcPr>
            <w:tcW w:w="1188" w:type="dxa"/>
          </w:tcPr>
          <w:p w:rsidR="005B7778" w:rsidRPr="00C51286" w:rsidRDefault="005B7778" w:rsidP="002236AC">
            <w:pPr>
              <w:rPr>
                <w:b/>
                <w:sz w:val="18"/>
                <w:szCs w:val="18"/>
              </w:rPr>
            </w:pPr>
            <w:proofErr w:type="spellStart"/>
            <w:r w:rsidRPr="00C51286">
              <w:rPr>
                <w:b/>
                <w:sz w:val="18"/>
                <w:szCs w:val="18"/>
              </w:rPr>
              <w:t>Presen-tation</w:t>
            </w:r>
            <w:proofErr w:type="spellEnd"/>
          </w:p>
        </w:tc>
        <w:tc>
          <w:tcPr>
            <w:tcW w:w="288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Some lines are not memorized.  Breaks character. No introduction.  No clear ending.</w:t>
            </w:r>
          </w:p>
        </w:tc>
        <w:tc>
          <w:tcPr>
            <w:tcW w:w="288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Mostly memorized.  Breaks character once or twice.  Introduction.  No clear ending.</w:t>
            </w:r>
          </w:p>
        </w:tc>
        <w:tc>
          <w:tcPr>
            <w:tcW w:w="3420" w:type="dxa"/>
          </w:tcPr>
          <w:p w:rsidR="005B7778" w:rsidRPr="00C51286" w:rsidRDefault="005B7778" w:rsidP="002236AC">
            <w:pPr>
              <w:autoSpaceDE w:val="0"/>
              <w:autoSpaceDN w:val="0"/>
              <w:adjustRightInd w:val="0"/>
              <w:rPr>
                <w:color w:val="000000"/>
                <w:sz w:val="18"/>
                <w:szCs w:val="18"/>
              </w:rPr>
            </w:pPr>
            <w:r w:rsidRPr="00C51286">
              <w:rPr>
                <w:color w:val="000000"/>
                <w:sz w:val="18"/>
                <w:szCs w:val="18"/>
              </w:rPr>
              <w:t>Completely memorized and internalized.  Does not break character.  Has strong introduction and ending.</w:t>
            </w:r>
          </w:p>
        </w:tc>
        <w:tc>
          <w:tcPr>
            <w:tcW w:w="1440" w:type="dxa"/>
          </w:tcPr>
          <w:p w:rsidR="005B7778" w:rsidRPr="00C51286" w:rsidRDefault="005B7778" w:rsidP="002236AC">
            <w:pPr>
              <w:rPr>
                <w:sz w:val="18"/>
                <w:szCs w:val="18"/>
              </w:rPr>
            </w:pPr>
          </w:p>
        </w:tc>
      </w:tr>
      <w:tr w:rsidR="005B7778" w:rsidRPr="00C51286" w:rsidTr="002236AC">
        <w:tc>
          <w:tcPr>
            <w:tcW w:w="1188" w:type="dxa"/>
          </w:tcPr>
          <w:p w:rsidR="005B7778" w:rsidRPr="00C51286" w:rsidRDefault="005B7778" w:rsidP="002236AC">
            <w:pPr>
              <w:rPr>
                <w:sz w:val="18"/>
                <w:szCs w:val="18"/>
              </w:rPr>
            </w:pPr>
          </w:p>
        </w:tc>
        <w:tc>
          <w:tcPr>
            <w:tcW w:w="2880" w:type="dxa"/>
          </w:tcPr>
          <w:p w:rsidR="005B7778" w:rsidRPr="00C51286" w:rsidRDefault="005B7778" w:rsidP="002236AC">
            <w:pPr>
              <w:rPr>
                <w:b/>
                <w:sz w:val="18"/>
                <w:szCs w:val="18"/>
              </w:rPr>
            </w:pPr>
          </w:p>
        </w:tc>
        <w:tc>
          <w:tcPr>
            <w:tcW w:w="2880" w:type="dxa"/>
          </w:tcPr>
          <w:p w:rsidR="005B7778" w:rsidRPr="00C51286" w:rsidRDefault="005B7778" w:rsidP="002236AC">
            <w:pPr>
              <w:rPr>
                <w:b/>
                <w:sz w:val="18"/>
                <w:szCs w:val="18"/>
              </w:rPr>
            </w:pPr>
          </w:p>
        </w:tc>
        <w:tc>
          <w:tcPr>
            <w:tcW w:w="3420" w:type="dxa"/>
          </w:tcPr>
          <w:p w:rsidR="005B7778" w:rsidRPr="00C51286" w:rsidRDefault="005B7778" w:rsidP="002236AC">
            <w:pPr>
              <w:rPr>
                <w:b/>
                <w:sz w:val="18"/>
                <w:szCs w:val="18"/>
              </w:rPr>
            </w:pPr>
          </w:p>
        </w:tc>
        <w:tc>
          <w:tcPr>
            <w:tcW w:w="1440" w:type="dxa"/>
          </w:tcPr>
          <w:p w:rsidR="005B7778" w:rsidRPr="00C51286" w:rsidRDefault="005B7778" w:rsidP="002236AC">
            <w:pPr>
              <w:rPr>
                <w:sz w:val="18"/>
                <w:szCs w:val="18"/>
              </w:rPr>
            </w:pPr>
            <w:r>
              <w:rPr>
                <w:b/>
                <w:sz w:val="18"/>
                <w:szCs w:val="18"/>
              </w:rPr>
              <w:t>Total Score:  ___/21</w:t>
            </w:r>
          </w:p>
        </w:tc>
      </w:tr>
    </w:tbl>
    <w:p w:rsidR="00A45D22" w:rsidRDefault="00A45D22" w:rsidP="005B7778">
      <w:pPr>
        <w:autoSpaceDE w:val="0"/>
        <w:autoSpaceDN w:val="0"/>
        <w:adjustRightInd w:val="0"/>
      </w:pPr>
      <w:bookmarkStart w:id="0" w:name="_GoBack"/>
      <w:bookmarkEnd w:id="0"/>
    </w:p>
    <w:sectPr w:rsidR="00A45D22" w:rsidSect="005B7778">
      <w:pgSz w:w="12240" w:h="15840"/>
      <w:pgMar w:top="288"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78"/>
    <w:rsid w:val="000011C8"/>
    <w:rsid w:val="00003029"/>
    <w:rsid w:val="00003562"/>
    <w:rsid w:val="00003724"/>
    <w:rsid w:val="0000615C"/>
    <w:rsid w:val="00013283"/>
    <w:rsid w:val="0001769A"/>
    <w:rsid w:val="00017727"/>
    <w:rsid w:val="00017744"/>
    <w:rsid w:val="00022A03"/>
    <w:rsid w:val="00025B6B"/>
    <w:rsid w:val="00026FAB"/>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BD2"/>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B7778"/>
    <w:rsid w:val="005C026F"/>
    <w:rsid w:val="005C3A53"/>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0BC0"/>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78"/>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778"/>
    <w:pPr>
      <w:spacing w:after="0"/>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78"/>
    <w:pPr>
      <w:spacing w:after="200" w:line="276" w:lineRule="auto"/>
    </w:pPr>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778"/>
    <w:pPr>
      <w:spacing w:after="0"/>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2015-02-04T19:50:00Z</dcterms:created>
  <dcterms:modified xsi:type="dcterms:W3CDTF">2015-02-04T19:51:00Z</dcterms:modified>
</cp:coreProperties>
</file>