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6B" w:rsidRPr="002970D3" w:rsidRDefault="009E426B" w:rsidP="009E426B">
      <w:pPr>
        <w:pStyle w:val="Normal1"/>
        <w:widowControl w:val="0"/>
        <w:jc w:val="center"/>
        <w:rPr>
          <w:sz w:val="56"/>
          <w:szCs w:val="56"/>
        </w:rPr>
      </w:pPr>
      <w:r w:rsidRPr="002970D3">
        <w:rPr>
          <w:rFonts w:ascii="Syncopate" w:eastAsia="Syncopate" w:hAnsi="Syncopate" w:cs="Syncopate"/>
          <w:sz w:val="56"/>
          <w:szCs w:val="56"/>
        </w:rPr>
        <w:t>Getting to Know You: Playwrights</w:t>
      </w:r>
    </w:p>
    <w:p w:rsidR="009E426B" w:rsidRDefault="009E426B" w:rsidP="009E426B">
      <w:pPr>
        <w:pStyle w:val="Normal1"/>
        <w:widowControl w:val="0"/>
      </w:pPr>
    </w:p>
    <w:p w:rsidR="009E426B" w:rsidRDefault="009E426B" w:rsidP="009E426B">
      <w:pPr>
        <w:pStyle w:val="Normal1"/>
        <w:widowControl w:val="0"/>
        <w:spacing w:line="240" w:lineRule="auto"/>
        <w:rPr>
          <w:rFonts w:ascii="Syncopate" w:eastAsia="Syncopate" w:hAnsi="Syncopate" w:cs="Syncopate"/>
          <w:sz w:val="44"/>
          <w:szCs w:val="44"/>
        </w:rPr>
      </w:pPr>
      <w:r>
        <w:rPr>
          <w:rFonts w:ascii="Syncopate" w:eastAsia="Syncopate" w:hAnsi="Syncopate" w:cs="Syncopate"/>
          <w:sz w:val="44"/>
          <w:szCs w:val="44"/>
        </w:rPr>
        <w:t>Names: ________________________________</w:t>
      </w:r>
    </w:p>
    <w:p w:rsidR="009E426B" w:rsidRDefault="009E426B" w:rsidP="009E426B">
      <w:pPr>
        <w:pStyle w:val="Normal1"/>
        <w:widowControl w:val="0"/>
        <w:spacing w:line="240" w:lineRule="auto"/>
        <w:rPr>
          <w:rFonts w:ascii="Syncopate" w:eastAsia="Syncopate" w:hAnsi="Syncopate" w:cs="Syncopate"/>
          <w:sz w:val="44"/>
          <w:szCs w:val="44"/>
        </w:rPr>
      </w:pPr>
    </w:p>
    <w:p w:rsidR="009E426B" w:rsidRDefault="009E426B" w:rsidP="009E426B">
      <w:pPr>
        <w:pStyle w:val="Normal1"/>
        <w:widowControl w:val="0"/>
        <w:spacing w:line="240" w:lineRule="auto"/>
        <w:rPr>
          <w:rFonts w:ascii="Syncopate" w:eastAsia="Syncopate" w:hAnsi="Syncopate" w:cs="Syncopate"/>
          <w:sz w:val="44"/>
          <w:szCs w:val="44"/>
        </w:rPr>
      </w:pPr>
      <w:r>
        <w:rPr>
          <w:rFonts w:ascii="Syncopate" w:eastAsia="Syncopate" w:hAnsi="Syncopate" w:cs="Syncopate"/>
          <w:sz w:val="44"/>
          <w:szCs w:val="44"/>
        </w:rPr>
        <w:t>Playwright: _____________________________</w:t>
      </w:r>
    </w:p>
    <w:p w:rsidR="009E426B" w:rsidRDefault="009E426B" w:rsidP="009E426B">
      <w:pPr>
        <w:pStyle w:val="Normal1"/>
        <w:widowControl w:val="0"/>
        <w:spacing w:line="240" w:lineRule="auto"/>
        <w:rPr>
          <w:rFonts w:ascii="Syncopate" w:eastAsia="Syncopate" w:hAnsi="Syncopate" w:cs="Syncopate"/>
          <w:sz w:val="44"/>
          <w:szCs w:val="44"/>
        </w:rPr>
      </w:pPr>
    </w:p>
    <w:p w:rsidR="009E426B" w:rsidRPr="002970D3" w:rsidRDefault="009E426B" w:rsidP="009E426B">
      <w:pPr>
        <w:pStyle w:val="Normal1"/>
        <w:widowControl w:val="0"/>
        <w:spacing w:line="240" w:lineRule="auto"/>
        <w:rPr>
          <w:sz w:val="44"/>
          <w:szCs w:val="44"/>
        </w:rPr>
      </w:pPr>
      <w:r w:rsidRPr="002970D3">
        <w:rPr>
          <w:rFonts w:ascii="Syncopate" w:eastAsia="Syncopate" w:hAnsi="Syncopate" w:cs="Syncopate"/>
          <w:sz w:val="44"/>
          <w:szCs w:val="44"/>
        </w:rPr>
        <w:t>Grading</w:t>
      </w:r>
    </w:p>
    <w:p w:rsidR="009E426B" w:rsidRDefault="009E426B" w:rsidP="009E426B">
      <w:pPr>
        <w:pStyle w:val="Normal1"/>
        <w:widowControl w:val="0"/>
        <w:spacing w:line="240" w:lineRule="auto"/>
      </w:pPr>
      <w:r>
        <w:rPr>
          <w:rFonts w:ascii="Syncopate" w:eastAsia="Syncopate" w:hAnsi="Syncopate" w:cs="Syncopate"/>
          <w:sz w:val="48"/>
        </w:rPr>
        <w:t>___/30</w:t>
      </w:r>
      <w:r>
        <w:rPr>
          <w:rFonts w:ascii="Syncopate" w:eastAsia="Syncopate" w:hAnsi="Syncopate" w:cs="Syncopate"/>
          <w:sz w:val="28"/>
        </w:rPr>
        <w:tab/>
      </w:r>
      <w:r>
        <w:rPr>
          <w:rFonts w:ascii="Syncopate" w:eastAsia="Syncopate" w:hAnsi="Syncopate" w:cs="Syncopate"/>
          <w:b/>
          <w:sz w:val="48"/>
        </w:rPr>
        <w:t>Presentation</w:t>
      </w:r>
    </w:p>
    <w:p w:rsidR="009E426B" w:rsidRPr="002970D3" w:rsidRDefault="009E426B" w:rsidP="009E426B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="Georgia" w:eastAsia="Georgia" w:hAnsi="Georgia" w:cs="Georgia"/>
          <w:sz w:val="32"/>
          <w:szCs w:val="32"/>
        </w:rPr>
      </w:pPr>
      <w:r w:rsidRPr="002970D3">
        <w:rPr>
          <w:rFonts w:ascii="Georgia" w:eastAsia="Georgia" w:hAnsi="Georgia" w:cs="Georgia"/>
          <w:sz w:val="32"/>
          <w:szCs w:val="32"/>
        </w:rPr>
        <w:t>Students give a charismatic, engaging presentation</w:t>
      </w:r>
    </w:p>
    <w:p w:rsidR="009E426B" w:rsidRPr="002970D3" w:rsidRDefault="009E426B" w:rsidP="009E426B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="Georgia" w:eastAsia="Georgia" w:hAnsi="Georgia" w:cs="Georgia"/>
          <w:sz w:val="32"/>
          <w:szCs w:val="32"/>
        </w:rPr>
      </w:pPr>
      <w:r w:rsidRPr="002970D3">
        <w:rPr>
          <w:rFonts w:ascii="Georgia" w:eastAsia="Georgia" w:hAnsi="Georgia" w:cs="Georgia"/>
          <w:sz w:val="32"/>
          <w:szCs w:val="32"/>
        </w:rPr>
        <w:t>Group doesn’t read word-for-word from a screen/paper</w:t>
      </w:r>
    </w:p>
    <w:p w:rsidR="009E426B" w:rsidRPr="002970D3" w:rsidRDefault="009E426B" w:rsidP="009E426B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="Georgia" w:eastAsia="Georgia" w:hAnsi="Georgia" w:cs="Georgia"/>
          <w:sz w:val="32"/>
          <w:szCs w:val="32"/>
        </w:rPr>
      </w:pPr>
      <w:r w:rsidRPr="002970D3">
        <w:rPr>
          <w:rFonts w:ascii="Georgia" w:eastAsia="Georgia" w:hAnsi="Georgia" w:cs="Georgia"/>
          <w:sz w:val="32"/>
          <w:szCs w:val="32"/>
        </w:rPr>
        <w:t>Brief biographical sketch is included</w:t>
      </w:r>
    </w:p>
    <w:p w:rsidR="009E426B" w:rsidRPr="002970D3" w:rsidRDefault="009E426B" w:rsidP="009E426B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="Georgia" w:eastAsia="Georgia" w:hAnsi="Georgia" w:cs="Georgia"/>
          <w:sz w:val="32"/>
          <w:szCs w:val="32"/>
        </w:rPr>
      </w:pPr>
      <w:r w:rsidRPr="002970D3">
        <w:rPr>
          <w:rFonts w:ascii="Georgia" w:eastAsia="Georgia" w:hAnsi="Georgia" w:cs="Georgia"/>
          <w:sz w:val="32"/>
          <w:szCs w:val="32"/>
        </w:rPr>
        <w:t>Details the playwright’s most famous works and why they’re influential</w:t>
      </w:r>
    </w:p>
    <w:p w:rsidR="009E426B" w:rsidRDefault="009E426B" w:rsidP="009E426B">
      <w:pPr>
        <w:pStyle w:val="Normal1"/>
        <w:widowControl w:val="0"/>
        <w:numPr>
          <w:ilvl w:val="0"/>
          <w:numId w:val="1"/>
        </w:numPr>
        <w:spacing w:line="240" w:lineRule="auto"/>
        <w:ind w:hanging="359"/>
        <w:contextualSpacing/>
        <w:rPr>
          <w:rFonts w:ascii="Georgia" w:eastAsia="Georgia" w:hAnsi="Georgia" w:cs="Georgia"/>
          <w:sz w:val="32"/>
          <w:szCs w:val="32"/>
        </w:rPr>
      </w:pPr>
      <w:r w:rsidRPr="002970D3">
        <w:rPr>
          <w:rFonts w:ascii="Georgia" w:eastAsia="Georgia" w:hAnsi="Georgia" w:cs="Georgia"/>
          <w:sz w:val="32"/>
          <w:szCs w:val="32"/>
        </w:rPr>
        <w:t>Description of playwright’s genre and contributions to both theatre performance and playwriting world</w:t>
      </w:r>
    </w:p>
    <w:p w:rsidR="009E426B" w:rsidRDefault="009E426B" w:rsidP="009E426B">
      <w:pPr>
        <w:pStyle w:val="Normal1"/>
        <w:widowControl w:val="0"/>
        <w:spacing w:line="240" w:lineRule="auto"/>
        <w:contextualSpacing/>
        <w:rPr>
          <w:rFonts w:ascii="Georgia" w:eastAsia="Georgia" w:hAnsi="Georgia" w:cs="Georgia"/>
          <w:sz w:val="32"/>
          <w:szCs w:val="32"/>
        </w:rPr>
      </w:pPr>
    </w:p>
    <w:p w:rsidR="009E426B" w:rsidRDefault="009E426B" w:rsidP="009E426B">
      <w:pPr>
        <w:pStyle w:val="Normal1"/>
        <w:widowControl w:val="0"/>
        <w:spacing w:line="240" w:lineRule="auto"/>
        <w:contextualSpacing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Notes:</w:t>
      </w:r>
    </w:p>
    <w:p w:rsidR="009E426B" w:rsidRDefault="009E426B" w:rsidP="009E426B">
      <w:pPr>
        <w:pStyle w:val="Normal1"/>
        <w:widowControl w:val="0"/>
        <w:spacing w:line="240" w:lineRule="auto"/>
        <w:contextualSpacing/>
        <w:rPr>
          <w:rFonts w:ascii="Georgia" w:eastAsia="Georgia" w:hAnsi="Georgia" w:cs="Georgia"/>
          <w:sz w:val="32"/>
          <w:szCs w:val="32"/>
        </w:rPr>
      </w:pPr>
    </w:p>
    <w:p w:rsidR="009E426B" w:rsidRDefault="009E426B" w:rsidP="009E426B">
      <w:pPr>
        <w:pStyle w:val="Normal1"/>
        <w:widowControl w:val="0"/>
        <w:spacing w:line="240" w:lineRule="auto"/>
        <w:contextualSpacing/>
        <w:rPr>
          <w:rFonts w:ascii="Georgia" w:eastAsia="Georgia" w:hAnsi="Georgia" w:cs="Georgia"/>
          <w:sz w:val="32"/>
          <w:szCs w:val="32"/>
        </w:rPr>
      </w:pPr>
    </w:p>
    <w:p w:rsidR="009E426B" w:rsidRPr="002970D3" w:rsidRDefault="009E426B" w:rsidP="009E426B">
      <w:pPr>
        <w:pStyle w:val="Normal1"/>
        <w:widowControl w:val="0"/>
        <w:spacing w:line="240" w:lineRule="auto"/>
        <w:contextualSpacing/>
        <w:rPr>
          <w:rFonts w:ascii="Georgia" w:eastAsia="Georgia" w:hAnsi="Georgia" w:cs="Georgia"/>
          <w:sz w:val="32"/>
          <w:szCs w:val="32"/>
        </w:rPr>
      </w:pPr>
    </w:p>
    <w:p w:rsidR="009E426B" w:rsidRDefault="009E426B" w:rsidP="009E426B">
      <w:pPr>
        <w:pStyle w:val="Normal1"/>
        <w:widowControl w:val="0"/>
        <w:spacing w:line="240" w:lineRule="auto"/>
      </w:pPr>
    </w:p>
    <w:p w:rsidR="009E426B" w:rsidRDefault="009E426B" w:rsidP="009E426B">
      <w:pPr>
        <w:pStyle w:val="Normal1"/>
        <w:widowControl w:val="0"/>
        <w:spacing w:line="240" w:lineRule="auto"/>
      </w:pPr>
      <w:r>
        <w:rPr>
          <w:rFonts w:ascii="Syncopate" w:eastAsia="Syncopate" w:hAnsi="Syncopate" w:cs="Syncopate"/>
          <w:sz w:val="48"/>
        </w:rPr>
        <w:t>___/20</w:t>
      </w:r>
      <w:r>
        <w:rPr>
          <w:rFonts w:ascii="Syncopate" w:eastAsia="Syncopate" w:hAnsi="Syncopate" w:cs="Syncopate"/>
          <w:sz w:val="48"/>
        </w:rPr>
        <w:tab/>
      </w:r>
      <w:r>
        <w:rPr>
          <w:rFonts w:ascii="Syncopate" w:eastAsia="Syncopate" w:hAnsi="Syncopate" w:cs="Syncopate"/>
          <w:b/>
          <w:sz w:val="48"/>
        </w:rPr>
        <w:t xml:space="preserve">Performance </w:t>
      </w:r>
    </w:p>
    <w:p w:rsidR="009E426B" w:rsidRPr="002970D3" w:rsidRDefault="009E426B" w:rsidP="009E426B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="Georgia" w:eastAsia="Georgia" w:hAnsi="Georgia" w:cs="Georgia"/>
          <w:sz w:val="32"/>
          <w:szCs w:val="32"/>
        </w:rPr>
      </w:pPr>
      <w:r w:rsidRPr="002970D3">
        <w:rPr>
          <w:rFonts w:ascii="Georgia" w:eastAsia="Georgia" w:hAnsi="Georgia" w:cs="Georgia"/>
          <w:sz w:val="32"/>
          <w:szCs w:val="32"/>
        </w:rPr>
        <w:t>Scenes are completely memorized</w:t>
      </w:r>
    </w:p>
    <w:p w:rsidR="009E426B" w:rsidRPr="002970D3" w:rsidRDefault="009E426B" w:rsidP="009E426B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="Georgia" w:eastAsia="Georgia" w:hAnsi="Georgia" w:cs="Georgia"/>
          <w:sz w:val="32"/>
          <w:szCs w:val="32"/>
        </w:rPr>
      </w:pPr>
      <w:r w:rsidRPr="002970D3">
        <w:rPr>
          <w:rFonts w:ascii="Georgia" w:eastAsia="Georgia" w:hAnsi="Georgia" w:cs="Georgia"/>
          <w:sz w:val="32"/>
          <w:szCs w:val="32"/>
        </w:rPr>
        <w:t>Students analyze as a group why the piece from their play is considered “good work”</w:t>
      </w:r>
    </w:p>
    <w:p w:rsidR="009E426B" w:rsidRPr="002970D3" w:rsidRDefault="009E426B" w:rsidP="009E426B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="Georgia" w:eastAsia="Georgia" w:hAnsi="Georgia" w:cs="Georgia"/>
          <w:sz w:val="32"/>
          <w:szCs w:val="32"/>
        </w:rPr>
      </w:pPr>
      <w:r w:rsidRPr="002970D3">
        <w:rPr>
          <w:rFonts w:ascii="Georgia" w:eastAsia="Georgia" w:hAnsi="Georgia" w:cs="Georgia"/>
          <w:sz w:val="32"/>
          <w:szCs w:val="32"/>
        </w:rPr>
        <w:t>All members in the group perform</w:t>
      </w:r>
    </w:p>
    <w:p w:rsidR="009E426B" w:rsidRPr="002970D3" w:rsidRDefault="009E426B" w:rsidP="009E426B">
      <w:pPr>
        <w:pStyle w:val="Normal1"/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="Georgia" w:eastAsia="Georgia" w:hAnsi="Georgia" w:cs="Georgia"/>
          <w:sz w:val="32"/>
          <w:szCs w:val="32"/>
        </w:rPr>
      </w:pPr>
      <w:r w:rsidRPr="002970D3">
        <w:rPr>
          <w:rFonts w:ascii="Georgia" w:eastAsia="Georgia" w:hAnsi="Georgia" w:cs="Georgia"/>
          <w:sz w:val="32"/>
          <w:szCs w:val="32"/>
        </w:rPr>
        <w:t>Performance is about 5 minutes long</w:t>
      </w:r>
    </w:p>
    <w:p w:rsidR="00A45D22" w:rsidRDefault="00A45D22"/>
    <w:p w:rsidR="009E426B" w:rsidRDefault="009E426B" w:rsidP="009E426B">
      <w:pPr>
        <w:pStyle w:val="Normal1"/>
        <w:widowControl w:val="0"/>
        <w:spacing w:line="240" w:lineRule="auto"/>
        <w:contextualSpacing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Notes:</w:t>
      </w:r>
    </w:p>
    <w:p w:rsidR="009E426B" w:rsidRDefault="009E426B" w:rsidP="009E426B">
      <w:pPr>
        <w:pStyle w:val="Normal1"/>
        <w:widowControl w:val="0"/>
        <w:spacing w:line="240" w:lineRule="auto"/>
        <w:contextualSpacing/>
        <w:rPr>
          <w:rFonts w:ascii="Georgia" w:eastAsia="Georgia" w:hAnsi="Georgia" w:cs="Georgia"/>
          <w:sz w:val="32"/>
          <w:szCs w:val="32"/>
        </w:rPr>
      </w:pPr>
    </w:p>
    <w:p w:rsidR="009E426B" w:rsidRDefault="009E426B">
      <w:bookmarkStart w:id="0" w:name="_GoBack"/>
      <w:bookmarkEnd w:id="0"/>
    </w:p>
    <w:p w:rsidR="009E426B" w:rsidRDefault="009E426B"/>
    <w:sectPr w:rsidR="009E426B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copat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230B"/>
    <w:multiLevelType w:val="multilevel"/>
    <w:tmpl w:val="35102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D133868"/>
    <w:multiLevelType w:val="multilevel"/>
    <w:tmpl w:val="66CE41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B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26B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E426B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E426B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2015-02-19T20:10:00Z</dcterms:created>
  <dcterms:modified xsi:type="dcterms:W3CDTF">2015-02-19T20:12:00Z</dcterms:modified>
</cp:coreProperties>
</file>